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12B05300" w:rsidR="00CE13BC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E22F21">
        <w:rPr>
          <w:rFonts w:ascii="Times New Roman" w:hAnsi="Times New Roman" w:cs="Times New Roman"/>
          <w:sz w:val="24"/>
          <w:szCs w:val="24"/>
        </w:rPr>
        <w:t>, klass (id)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11199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11199C">
        <w:rPr>
          <w:rFonts w:ascii="Times New Roman" w:hAnsi="Times New Roman" w:cs="Times New Roman"/>
          <w:spacing w:val="-17"/>
          <w:sz w:val="24"/>
          <w:szCs w:val="24"/>
        </w:rPr>
        <w:t>Lüllemäe</w:t>
      </w:r>
      <w:proofErr w:type="spellEnd"/>
      <w:r w:rsidR="0011199C">
        <w:rPr>
          <w:rFonts w:ascii="Times New Roman" w:hAnsi="Times New Roman" w:cs="Times New Roman"/>
          <w:spacing w:val="-17"/>
          <w:sz w:val="24"/>
          <w:szCs w:val="24"/>
        </w:rPr>
        <w:t xml:space="preserve"> Põhikool 2026, 3. klass</w:t>
      </w:r>
    </w:p>
    <w:p w14:paraId="3D640F62" w14:textId="33E22A09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11199C">
        <w:rPr>
          <w:rFonts w:ascii="Times New Roman" w:hAnsi="Times New Roman" w:cs="Times New Roman"/>
          <w:b/>
          <w:sz w:val="24"/>
          <w:szCs w:val="24"/>
        </w:rPr>
        <w:t xml:space="preserve"> 6.01.2026</w:t>
      </w:r>
    </w:p>
    <w:p w14:paraId="31767CE1" w14:textId="1CFC1650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11199C">
        <w:rPr>
          <w:rFonts w:ascii="Times New Roman" w:hAnsi="Times New Roman" w:cs="Times New Roman"/>
          <w:sz w:val="24"/>
          <w:szCs w:val="24"/>
        </w:rPr>
        <w:t xml:space="preserve"> Valev Sisov</w:t>
      </w:r>
    </w:p>
    <w:p w14:paraId="29A194F6" w14:textId="63D40494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11199C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BB4386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8E09" w14:textId="6760F92D" w:rsidR="001D305D" w:rsidRPr="00CE13BC" w:rsidRDefault="00B065BC" w:rsidP="001119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</w:t>
            </w:r>
            <w:r w:rsidR="00111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43DB6F54" w14:textId="4BAC03A7" w:rsidR="001D305D" w:rsidRPr="0011199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tunneb oma kooliümbru</w:t>
            </w:r>
            <w:r w:rsidR="009674D3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se</w:t>
            </w:r>
            <w:r w:rsidR="004F484C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liikluskeskkon</w:t>
            </w:r>
            <w:r w:rsidR="004F484C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da</w:t>
            </w:r>
            <w:r w:rsidR="00F32F53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ja </w:t>
            </w:r>
            <w:r w:rsidR="00C7660E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11199C" w:rsidRDefault="001D305D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930AC59" w14:textId="1B3E5C9B" w:rsidR="001D305D" w:rsidRPr="0011199C" w:rsidRDefault="00D475E9" w:rsidP="00D81D61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teab,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et</w:t>
            </w:r>
            <w:r w:rsidRPr="0011199C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</w:t>
            </w:r>
            <w:r w:rsidR="00D81D6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liigeldes kiirustamine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ja ohutuses veendumata</w:t>
            </w:r>
            <w:r w:rsidR="00D81D6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jätmine võib </w:t>
            </w:r>
            <w:r w:rsidR="00D81D6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kaasa tuua ohtlikke olukordi või </w:t>
            </w:r>
            <w:r w:rsidR="002078BB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olla üheks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õnnetuse</w:t>
            </w:r>
            <w:r w:rsidR="002078BB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põhjustest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Default="00891DA8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744E4BEA" w14:textId="07312932" w:rsidR="00284E11" w:rsidRPr="0011199C" w:rsidRDefault="00284E11" w:rsidP="0011199C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0A3D3F" w14:textId="2ABC9FB9" w:rsidR="00891DA8" w:rsidRPr="00687A42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11199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teab, millised on liiklemiseks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korras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11199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6D4C68" w14:textId="545A5DE1" w:rsidR="0047551F" w:rsidRPr="0011199C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</w:t>
            </w:r>
            <w:r w:rsidRPr="0011199C">
              <w:rPr>
                <w:rFonts w:ascii="Times New Roman" w:hAnsi="Times New Roman" w:cs="Times New Roman"/>
                <w:iCs/>
                <w:spacing w:val="-19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nimetada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hea</w:t>
            </w:r>
            <w:r w:rsidRPr="0011199C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kiivri omadusi ja õiget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11199C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6224058" w14:textId="21192ACB" w:rsidR="0047551F" w:rsidRPr="0011199C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49B31437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1.</w:t>
            </w:r>
            <w:r w:rsidRPr="00D86F3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  <w:highlight w:val="yellow"/>
              </w:rPr>
              <w:t xml:space="preserve"> </w:t>
            </w:r>
            <w:r w:rsidRPr="00D86F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Sõidutund</w:t>
            </w:r>
            <w:r w:rsidRPr="00D86F3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highlight w:val="yellow"/>
              </w:rPr>
              <w:t xml:space="preserve"> </w:t>
            </w:r>
            <w:r w:rsidR="00D86F3D" w:rsidRPr="00D86F3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highlight w:val="yellow"/>
              </w:rPr>
              <w:t>(sügisel alanud koolitus</w:t>
            </w:r>
            <w:r w:rsidR="00D86F3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)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138883A6" w14:textId="1DAF3AD8" w:rsidR="001D305D" w:rsidRPr="0011199C" w:rsidRDefault="001D305D" w:rsidP="001119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11199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oskab kontrollida jalgratta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tehnilist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seisukorda</w:t>
            </w:r>
            <w:r w:rsidR="008B4640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oskab </w:t>
            </w:r>
            <w:r w:rsidR="006174B5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korrigeerida helkurite/tulede asendit</w:t>
            </w:r>
            <w:r w:rsidR="00C53755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AD51714" w14:textId="70CE020E" w:rsidR="001D305D" w:rsidRPr="0011199C" w:rsidRDefault="001D305D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A31BE03" w14:textId="77777777" w:rsidR="0047551F" w:rsidRPr="0011199C" w:rsidRDefault="0047551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F87A325" w14:textId="77777777" w:rsidR="001C3F7B" w:rsidRPr="0011199C" w:rsidRDefault="0047551F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Pr="0011199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oskab valitseda jalgratast, vahetada käike, sujuvalt pidurdada</w:t>
            </w:r>
            <w:r w:rsidR="004501B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ja hoida </w:t>
            </w:r>
            <w:r w:rsidR="00245EDA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sirget</w:t>
            </w:r>
            <w:r w:rsidR="004501B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sõidujoont</w:t>
            </w:r>
            <w:r w:rsidR="00245EDA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B86EE4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161361D1" w14:textId="5FEFBF4D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864890B" w14:textId="77777777" w:rsidR="00E64A81" w:rsidRPr="00CE13BC" w:rsidRDefault="00E64A81" w:rsidP="00031CE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0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Pr="0011199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v</w:t>
            </w:r>
            <w:r w:rsidR="00B86EE4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äärtustab viisakust liikluskeskkonnas (teiste liiklejatega arvestamine jalakäijana,</w:t>
            </w:r>
            <w:r w:rsidR="00B86EE4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="00B86EE4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liikluse</w:t>
            </w:r>
            <w:r w:rsidR="00B86EE4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="00B86EE4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„tere“</w:t>
            </w:r>
            <w:r w:rsidR="00B86EE4" w:rsidRPr="0011199C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</w:t>
            </w:r>
            <w:r w:rsidR="00B86EE4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- pilkkontakt ja tänamine).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8B8FE5A" w14:textId="77777777" w:rsidR="003A2051" w:rsidRPr="0011199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E6BFEDF" w14:textId="77777777" w:rsidR="00B74E56" w:rsidRPr="0011199C" w:rsidRDefault="00B74E56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Õpilane oskab end nii jalakäija kui </w:t>
            </w:r>
            <w:r w:rsidR="00B74E5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ka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jalgratturina päevasel </w:t>
            </w:r>
            <w:r w:rsidR="00B74E5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pimeda</w:t>
            </w: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ajal</w:t>
            </w: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nähtavaks teha</w:t>
            </w:r>
            <w:r w:rsidRPr="0011199C">
              <w:rPr>
                <w:rFonts w:ascii="Times New Roman" w:hAnsi="Times New Roman" w:cs="Times New Roman"/>
                <w:iCs/>
                <w:spacing w:val="-15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ning 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D475E9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1" w:history="1"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7F11" w14:textId="798B7D8D" w:rsidR="001D305D" w:rsidRPr="00E3224B" w:rsidRDefault="001D305D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B7BA0E" w14:textId="77777777" w:rsidR="000A69EC" w:rsidRPr="0011199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teab</w:t>
            </w:r>
            <w:r w:rsidRPr="0011199C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ja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oskab</w:t>
            </w:r>
            <w:r w:rsidR="00D95398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oma sõnadega selgitada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liikluse</w:t>
            </w:r>
            <w:r w:rsidR="003D6815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ga seotud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põhimõisteid</w:t>
            </w:r>
            <w:r w:rsidR="000A69EC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11199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liiklejad;</w:t>
            </w:r>
          </w:p>
          <w:p w14:paraId="1F583164" w14:textId="6341C142" w:rsidR="000A69EC" w:rsidRPr="0011199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sõidukid;</w:t>
            </w:r>
          </w:p>
          <w:p w14:paraId="06AC37E4" w14:textId="77777777" w:rsidR="000A69EC" w:rsidRPr="0011199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teed; </w:t>
            </w:r>
          </w:p>
          <w:p w14:paraId="577D3E0F" w14:textId="0AEB79CC" w:rsidR="000A69EC" w:rsidRPr="0011199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liikluskorraldusvahendid;</w:t>
            </w:r>
          </w:p>
          <w:p w14:paraId="7AC2A9ED" w14:textId="5C526695" w:rsidR="000A69EC" w:rsidRPr="0011199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tee ületamine;</w:t>
            </w:r>
          </w:p>
          <w:p w14:paraId="42B6A6CB" w14:textId="77777777" w:rsidR="000B061A" w:rsidRPr="0011199C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üldised liiklusreeglid</w:t>
            </w:r>
            <w:r w:rsidR="001C31D5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Õpilane teab erinevaid </w:t>
            </w:r>
            <w:r w:rsidR="003517A4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ristmike liike</w:t>
            </w:r>
            <w:r w:rsidR="00F7069A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ning </w:t>
            </w:r>
            <w:r w:rsidR="00031CE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tunneb liiklusega seotud mõisteid</w:t>
            </w:r>
            <w:r w:rsidR="00F01DBA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ära </w:t>
            </w:r>
            <w:r w:rsidR="000B061A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liikluskeskkon</w:t>
            </w:r>
            <w:r w:rsidR="00E82B78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nas</w:t>
            </w:r>
            <w:r w:rsidR="00F01DBA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AB1D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Pr="0011199C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teab, et sõiduteel peab</w:t>
            </w:r>
            <w:r w:rsidRPr="0011199C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juht</w:t>
            </w:r>
            <w:r w:rsidRPr="0011199C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näitama</w:t>
            </w:r>
            <w:r w:rsidRPr="0011199C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suuna-</w:t>
            </w:r>
            <w:r w:rsidRPr="0011199C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peatumismärguandeid</w:t>
            </w:r>
            <w:r w:rsidR="00D178BF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11199C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AB1DA5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3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4CC2D47A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Pr="0011199C" w:rsidRDefault="00AB1DA5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Pr="0011199C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</w:t>
            </w: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mõistab</w:t>
            </w: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ohutu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piki-</w:t>
            </w:r>
            <w:r w:rsidRPr="0011199C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külgvahe hoidmise olulisust.</w:t>
            </w:r>
          </w:p>
          <w:p w14:paraId="3203E97A" w14:textId="77777777" w:rsidR="00F83A5A" w:rsidRPr="0011199C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14:paraId="1891EF34" w14:textId="5A2962FC" w:rsidR="001D305D" w:rsidRPr="0011199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Õpilane teab, erinevate sõidukite pimenurkade</w:t>
            </w:r>
            <w:r w:rsidR="00F34BB3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ulatusest ja </w:t>
            </w:r>
            <w:r w:rsidR="00A211B9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E3224B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D475E9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15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56A8210A" w:rsidR="007225F5" w:rsidRPr="00CE13BC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Pr="0011199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 erinevate teeületuse kohtade puhul kehtivaid jalakäijate ja juhtide</w:t>
            </w:r>
            <w:r w:rsidR="00BB0408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/ratturi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liiklusreegleid</w:t>
            </w:r>
            <w:r w:rsidR="00DF5429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Pr="0011199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Õpilane teab, et </w:t>
            </w:r>
            <w:r w:rsidR="005D74E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„Rong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on alati peateel</w:t>
            </w:r>
            <w:r w:rsidR="005D74E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“ ja rongil on jalakäijate ja juhtide</w:t>
            </w:r>
            <w:r w:rsidR="00BB0408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/rattu</w:t>
            </w:r>
            <w:r w:rsidR="008235E7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rite</w:t>
            </w:r>
            <w:r w:rsidR="005D74E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ees alati eesõigus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9C3666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Pr="0011199C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teab,</w:t>
            </w:r>
            <w:r w:rsidRPr="0011199C">
              <w:rPr>
                <w:rFonts w:ascii="Times New Roman" w:hAnsi="Times New Roman" w:cs="Times New Roman"/>
                <w:iCs/>
                <w:spacing w:val="-15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et</w:t>
            </w:r>
            <w:r w:rsidRPr="0011199C">
              <w:rPr>
                <w:rFonts w:ascii="Times New Roman" w:hAnsi="Times New Roman" w:cs="Times New Roman"/>
                <w:iCs/>
                <w:spacing w:val="-15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asulas</w:t>
            </w:r>
            <w:r w:rsidRPr="0011199C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peab andma teed peatusest väljuvale </w:t>
            </w:r>
            <w:r w:rsidR="00C6616D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ühissõiduki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juhile ja oskab </w:t>
            </w:r>
            <w:r w:rsidR="00600043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ühissõidukipeatustes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jalakäijatega </w:t>
            </w:r>
            <w:r w:rsidR="00600043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arvestada</w:t>
            </w:r>
            <w:r w:rsidR="00A702D5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Pr="0011199C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Õpilane </w:t>
            </w:r>
            <w:r w:rsidR="005503A8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teab, et võib sõita asulas ühissõidukirajal</w:t>
            </w:r>
            <w:r w:rsidR="009F7AFF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ja on teadlik siin sõitmise </w:t>
            </w:r>
            <w:r w:rsidR="005F60F6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9C3666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7E50C205" w14:textId="429639E9" w:rsidR="00EB7950" w:rsidRPr="00CE13BC" w:rsidRDefault="006714CD" w:rsidP="0011199C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14:paraId="7B302AE1" w14:textId="1C1D8D23" w:rsidR="001D305D" w:rsidRPr="0011199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oskab oma sõnadega selgitada sõidueesõiguse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mõistet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ja tuua näiteid erinevate situatsioonide kohta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694973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pdfviewer" w:history="1"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4F4DFF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4F4DFF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r w:rsidR="005C3C24" w:rsidRPr="00EA0B20">
              <w:rPr>
                <w:rFonts w:ascii="Times New Roman" w:hAnsi="Times New Roman" w:cs="Times New Roman"/>
              </w:rPr>
              <w:t xml:space="preserve">kergliiklejatega seotud märgid </w:t>
            </w:r>
            <w:hyperlink r:id="rId20" w:history="1">
              <w:r w:rsidR="005C3C24"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1A4332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21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22" w:history="1">
              <w:r w:rsidR="00E31C95"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C303A6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23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24" w:history="1">
              <w:r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Pr="0011199C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os</w:t>
            </w:r>
            <w:r w:rsidR="001758C3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kab liikluskeskkonnas märgata erinevaid märgirühmi</w:t>
            </w:r>
            <w:r w:rsidR="007C6FD4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09B1DFB" w14:textId="77777777" w:rsidR="00A9373E" w:rsidRPr="0011199C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FA1E77A" w14:textId="64B00ACC" w:rsidR="00C147B6" w:rsidRPr="0011199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Õpilane mõistab liiklusmärkide </w:t>
            </w:r>
            <w:r w:rsidR="00991BDB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vajadust liikluse</w:t>
            </w:r>
            <w:r w:rsidR="00A9373E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Pr="0011199C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63009E" w14:textId="09A17056" w:rsidR="00C147B6" w:rsidRPr="0011199C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teab</w:t>
            </w:r>
            <w:r w:rsidRPr="0011199C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ja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oskab oma sõnadega selgitada põhilisi kuue liiklusmärkide rühma märkide tähendusi</w:t>
            </w:r>
            <w:r w:rsidR="00FD3479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ehk mida märk </w:t>
            </w:r>
            <w:r w:rsidR="00F05C3D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liiklejatele teada annab.</w:t>
            </w:r>
          </w:p>
          <w:p w14:paraId="1A65DEFC" w14:textId="77777777" w:rsidR="001D305D" w:rsidRPr="0011199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teab, et sõiduteel sõi</w:t>
            </w:r>
            <w:r w:rsidR="002F18E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tmiseks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F18E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peab ta järgima kõiki juhtidele mõeldu</w:t>
            </w:r>
            <w:r w:rsidR="00784253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="002F18E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332E3B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3FE0027" w:rsidR="002049CE" w:rsidRPr="0011199C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 valgusfoori värvide</w:t>
            </w:r>
            <w:r w:rsidRPr="0011199C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tähendusi</w:t>
            </w:r>
            <w:r w:rsidR="002049CE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ja oskab </w:t>
            </w:r>
            <w:r w:rsidR="00A972C9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11199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269B988" w14:textId="77777777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148AAA9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555CD7C7" w:rsidR="00197903" w:rsidRPr="00CE13BC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parema käe reegel </w:t>
            </w:r>
            <w:hyperlink r:id="rId2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11199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teab</w:t>
            </w:r>
            <w:r w:rsidR="003C6126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>a</w:t>
            </w:r>
            <w:r w:rsidR="003C6126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käe reegel</w:t>
            </w:r>
            <w:r w:rsidR="00E91697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Õpilane teab, kuidas </w:t>
            </w:r>
            <w:r w:rsidR="00E91697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ära </w:t>
            </w:r>
            <w:r w:rsidR="00197675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>ristmikku, kus kehtib parema käe reegel.</w:t>
            </w:r>
            <w:r w:rsidR="003C6126"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332E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BC49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Pr="0011199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</w:t>
            </w:r>
            <w:r w:rsidR="00944DE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et enne vasak- või tagasipööret peab juht andma teed </w:t>
            </w:r>
            <w:r w:rsidR="00937B89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vastuliikuvatele ja parepööret sooritavatele juhtidele ning sõiduteed ületavatele </w:t>
            </w:r>
            <w:r w:rsidR="00F12681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jalakäijatele, jalgratturitele ja kergliikurijuhtidele.</w:t>
            </w:r>
          </w:p>
          <w:p w14:paraId="57E14BA5" w14:textId="77777777" w:rsidR="00FD3EC6" w:rsidRPr="0011199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on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ohtlik</w:t>
            </w:r>
            <w:r w:rsidR="00C5528F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ja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oskab selgitada</w:t>
            </w:r>
            <w:r w:rsidR="00C5528F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,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miks on ohutum neid manöövreid vältida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1C79E1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D47347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32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11199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teab, kes on reguleerija</w:t>
            </w:r>
            <w:r w:rsidR="00FD3EC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miks</w:t>
            </w:r>
            <w:r w:rsidR="00FD3EC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ta on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vajalik</w:t>
            </w: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ning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="001A1886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tunneb</w:t>
            </w: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reguleerija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11199C" w:rsidRDefault="001D305D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 ja tunneb ära ohtlikud</w:t>
            </w: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olukorrad</w:t>
            </w:r>
            <w:r w:rsidRPr="0011199C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liikluses</w:t>
            </w:r>
            <w:r w:rsidRPr="0011199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 </w:t>
            </w:r>
            <w:r w:rsidR="001C551A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teab, kuidas</w:t>
            </w:r>
            <w:r w:rsidR="00F027BE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võimalikke ohuolukordi </w:t>
            </w:r>
            <w:r w:rsidR="001C551A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10CA685A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34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11199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>Õpilane</w:t>
            </w:r>
            <w:r w:rsidRPr="0011199C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tunneb </w:t>
            </w:r>
            <w:r w:rsidR="008514ED" w:rsidRPr="00111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erinevaid sõidutee ja jalgratta- ja jalgtee </w:t>
            </w:r>
            <w:r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teekattemärgiseid</w:t>
            </w:r>
            <w:r w:rsidR="008514ED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FD3EC6" w:rsidRPr="0011199C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FE6D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D475E9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01700113" w14:textId="76218097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F9D3DC4" w14:textId="4F6704DC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2E578329" w14:textId="21E7A9BA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09DA54E5" w14:textId="3C944AD8" w:rsidR="001D305D" w:rsidRPr="00CE13BC" w:rsidRDefault="001D305D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17F79243" w14:textId="6B7D2F81" w:rsidR="001D305D" w:rsidRPr="00035C11" w:rsidRDefault="001D305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18B82557" w:rsidR="001D305D" w:rsidRPr="00CE13BC" w:rsidRDefault="001D305D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584051F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BB43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37" w:history="1">
              <w:r w:rsidR="00540BAF"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54B9494A" w:rsidR="001D305D" w:rsidRDefault="00BB4386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24.-25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6497360A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E64C9E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38" w:history="1">
              <w:r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39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0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2773B309" w:rsidR="00E04E66" w:rsidRDefault="00BB438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26.-27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C31F6F7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9DC27D" w14:textId="77777777" w:rsidR="00211DDD" w:rsidRPr="003B5703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3EFFF0F8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003FB1" w14:textId="131E909B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26356750" w14:textId="77777777" w:rsidR="006625B3" w:rsidRPr="00BB438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Õpilane oskab</w:t>
            </w:r>
            <w:r w:rsidR="006625B3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552B89C5" w14:textId="77777777" w:rsidR="006625B3" w:rsidRPr="00BB4386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21357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hoida tähelepanu liiklusel</w:t>
            </w:r>
            <w:r w:rsidR="00F94058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(kõik suunad</w:t>
            </w:r>
            <w:r w:rsidR="006625B3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  <w:r w:rsidR="00421357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F55CB49" w14:textId="77777777" w:rsidR="006625B3" w:rsidRPr="00BB4386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tee</w:t>
            </w:r>
            <w:r w:rsidR="006625B3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de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l õigesti paikneda,</w:t>
            </w:r>
          </w:p>
          <w:p w14:paraId="63F89FD8" w14:textId="77777777" w:rsidR="007913D9" w:rsidRPr="00BB438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valida </w:t>
            </w:r>
            <w:r w:rsidR="00652690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oludele sobiv</w:t>
            </w:r>
            <w:r w:rsidR="00421357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652690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sõidukiirus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e;</w:t>
            </w:r>
          </w:p>
          <w:p w14:paraId="15E95A39" w14:textId="77777777" w:rsidR="007913D9" w:rsidRPr="00BB4386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anda </w:t>
            </w:r>
            <w:r w:rsidR="00A801C4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õigeid ja 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õigeaegs</w:t>
            </w:r>
            <w:r w:rsidR="00A801C4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eid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märguandeid</w:t>
            </w:r>
            <w:r w:rsidR="007913D9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1108F67F" w14:textId="77777777" w:rsidR="007913D9" w:rsidRPr="00BB4386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järgida eesõigust ristmikel ja erinevate</w:t>
            </w:r>
            <w:r w:rsidR="00487964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teeületuskohtades</w:t>
            </w:r>
            <w:r w:rsidR="00F94058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(sh </w:t>
            </w:r>
            <w:r w:rsidR="00487964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võimalusel </w:t>
            </w:r>
            <w:r w:rsidR="00F94058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reguleerija ja liikluskorraldusvahendite järgimine)</w:t>
            </w:r>
            <w:r w:rsidR="007913D9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34C8A99" w14:textId="683012D4" w:rsidR="007913D9" w:rsidRPr="00BB4386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arvestada jalakäijatega ja tagada nende ohutus</w:t>
            </w:r>
            <w:r w:rsidR="004058E6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sh hoida ohutu külgvahet</w:t>
            </w:r>
            <w:r w:rsidR="007913D9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9E46B85" w14:textId="77777777" w:rsidR="007913D9" w:rsidRPr="00BB4386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sooritada pöördeid ilma vastassuunda </w:t>
            </w:r>
            <w:r w:rsidR="00487964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kaldu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mata</w:t>
            </w:r>
            <w:r w:rsidR="007913D9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32ACFC31" w14:textId="77777777" w:rsidR="007913D9" w:rsidRPr="00BB4386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valida ohutum </w:t>
            </w:r>
            <w:r w:rsidR="00F94058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teekond sh 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teeületus</w:t>
            </w:r>
            <w:r w:rsidR="00F94058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ja võimalusel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vältida vasak</w:t>
            </w:r>
            <w:r w:rsidR="00F94058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- või tagasi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pööret</w:t>
            </w:r>
            <w:r w:rsidR="007913D9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4F210D2" w14:textId="25A0E702" w:rsidR="004058E6" w:rsidRPr="00BB438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liikuda grupis </w:t>
            </w:r>
            <w:r w:rsidR="00E951C2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ja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hoida </w:t>
            </w:r>
            <w:r w:rsidR="004058E6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ohutut pikivahet;</w:t>
            </w:r>
          </w:p>
          <w:p w14:paraId="729834FA" w14:textId="1F7E2283" w:rsidR="00E04E66" w:rsidRPr="00BB4386" w:rsidRDefault="00F94058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õigeaegselt </w:t>
            </w:r>
            <w:r w:rsidR="00483555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enne peatumist 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aeglustad</w:t>
            </w:r>
            <w:r w:rsidR="00483555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7A7CD05A" w:rsidR="001D305D" w:rsidRPr="00CE13BC" w:rsidRDefault="00BB438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28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Vt </w:t>
            </w:r>
            <w:hyperlink r:id="rId41" w:history="1">
              <w:r w:rsidR="006B603F" w:rsidRPr="00416880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  <w:highlight w:val="yellow"/>
                </w:rPr>
                <w:t>määruse</w:t>
              </w:r>
            </w:hyperlink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Vt </w:t>
            </w:r>
            <w:hyperlink r:id="rId42" w:history="1">
              <w:r w:rsidR="006B603F" w:rsidRPr="00416880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  <w:highlight w:val="yellow"/>
                </w:rPr>
                <w:t>määruse</w:t>
              </w:r>
            </w:hyperlink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3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1AA321" w14:textId="6098DF4A" w:rsidR="001D305D" w:rsidRPr="00CE13BC" w:rsidRDefault="00657B6A" w:rsidP="00B0391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4E80" w:rsidRPr="00D43D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 järk toimub kooli</w:t>
            </w:r>
            <w:r w:rsidR="00D43DA3" w:rsidRPr="00D43D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hoovis aadressil</w:t>
            </w:r>
            <w:r w:rsidR="0011199C">
              <w:rPr>
                <w:rFonts w:ascii="Times New Roman" w:hAnsi="Times New Roman" w:cs="Times New Roman"/>
                <w:sz w:val="24"/>
                <w:szCs w:val="24"/>
              </w:rPr>
              <w:t xml:space="preserve"> Kirikumõisa tee 15 </w:t>
            </w:r>
            <w:proofErr w:type="spellStart"/>
            <w:r w:rsidR="0011199C">
              <w:rPr>
                <w:rFonts w:ascii="Times New Roman" w:hAnsi="Times New Roman" w:cs="Times New Roman"/>
                <w:sz w:val="24"/>
                <w:szCs w:val="24"/>
              </w:rPr>
              <w:t>Lüllemäe</w:t>
            </w:r>
            <w:proofErr w:type="spellEnd"/>
          </w:p>
          <w:p w14:paraId="0FF11B68" w14:textId="18F2F51E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8C39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II järk </w:t>
            </w:r>
            <w:r w:rsidR="008C3974" w:rsidRPr="008C39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imiteeritud liiklusega plats, aadressiga</w:t>
            </w:r>
            <w:r w:rsidR="0011199C">
              <w:rPr>
                <w:rFonts w:ascii="Times New Roman" w:hAnsi="Times New Roman" w:cs="Times New Roman"/>
                <w:sz w:val="24"/>
                <w:szCs w:val="24"/>
              </w:rPr>
              <w:t xml:space="preserve"> Kirikumõisa tee 15 </w:t>
            </w:r>
            <w:proofErr w:type="spellStart"/>
            <w:r w:rsidR="0011199C">
              <w:rPr>
                <w:rFonts w:ascii="Times New Roman" w:hAnsi="Times New Roman" w:cs="Times New Roman"/>
                <w:sz w:val="24"/>
                <w:szCs w:val="24"/>
              </w:rPr>
              <w:t>Lüllemäe</w:t>
            </w:r>
            <w:proofErr w:type="spellEnd"/>
            <w:r w:rsidR="008C39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974" w:rsidRPr="004168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või </w:t>
            </w:r>
            <w:r w:rsidR="000F6242" w:rsidRPr="004168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vähese liiklusega teedel </w:t>
            </w:r>
            <w:proofErr w:type="spellStart"/>
            <w:r w:rsidR="00BB4386">
              <w:rPr>
                <w:rFonts w:ascii="Times New Roman" w:hAnsi="Times New Roman" w:cs="Times New Roman"/>
                <w:sz w:val="24"/>
                <w:szCs w:val="24"/>
              </w:rPr>
              <w:t>Lüllemäe</w:t>
            </w:r>
            <w:proofErr w:type="spellEnd"/>
            <w:r w:rsidR="00BB4386">
              <w:rPr>
                <w:rFonts w:ascii="Times New Roman" w:hAnsi="Times New Roman" w:cs="Times New Roman"/>
                <w:sz w:val="24"/>
                <w:szCs w:val="24"/>
              </w:rPr>
              <w:t>-Valga mnt</w:t>
            </w:r>
          </w:p>
        </w:tc>
        <w:tc>
          <w:tcPr>
            <w:tcW w:w="3293" w:type="dxa"/>
          </w:tcPr>
          <w:p w14:paraId="2FB52645" w14:textId="6D8190F6" w:rsidR="001D305D" w:rsidRPr="00BB4386" w:rsidRDefault="006B603F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Õpilane </w:t>
            </w:r>
            <w:r w:rsidR="00652690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sooritab</w:t>
            </w:r>
            <w:r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07BCF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sõidueksami I ja II järgu</w:t>
            </w:r>
            <w:r w:rsidR="00652690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07BCF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talle antakse eksamikomisjoni otsusega jalgratta juhtimisõigus</w:t>
            </w:r>
            <w:r w:rsidR="005B4E10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(kui ta on 10.a</w:t>
            </w:r>
            <w:r w:rsidR="00004F45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, vähemalt 9 a 6 k õpilastele antakse juhitmisõigus ja väljastatakse luba kõige varasemalt 10. sünnipäeval</w:t>
            </w:r>
            <w:r w:rsidR="005B4E10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C07BCF" w:rsidRPr="00BB4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290338">
      <w:pPr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perlink"/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290338">
      <w:pPr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46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47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BD3F87">
      <w:pPr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BD3F87">
      <w:pPr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50" w:history="1">
        <w:r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430245440">
    <w:abstractNumId w:val="10"/>
  </w:num>
  <w:num w:numId="2" w16cid:durableId="587664932">
    <w:abstractNumId w:val="7"/>
  </w:num>
  <w:num w:numId="3" w16cid:durableId="163477777">
    <w:abstractNumId w:val="1"/>
  </w:num>
  <w:num w:numId="4" w16cid:durableId="957109128">
    <w:abstractNumId w:val="9"/>
  </w:num>
  <w:num w:numId="5" w16cid:durableId="777532277">
    <w:abstractNumId w:val="11"/>
  </w:num>
  <w:num w:numId="6" w16cid:durableId="496119764">
    <w:abstractNumId w:val="12"/>
  </w:num>
  <w:num w:numId="7" w16cid:durableId="23873665">
    <w:abstractNumId w:val="0"/>
  </w:num>
  <w:num w:numId="8" w16cid:durableId="1227298600">
    <w:abstractNumId w:val="4"/>
  </w:num>
  <w:num w:numId="9" w16cid:durableId="2128424138">
    <w:abstractNumId w:val="15"/>
  </w:num>
  <w:num w:numId="10" w16cid:durableId="1843422993">
    <w:abstractNumId w:val="19"/>
  </w:num>
  <w:num w:numId="11" w16cid:durableId="409042725">
    <w:abstractNumId w:val="8"/>
  </w:num>
  <w:num w:numId="12" w16cid:durableId="200749865">
    <w:abstractNumId w:val="6"/>
  </w:num>
  <w:num w:numId="13" w16cid:durableId="633097479">
    <w:abstractNumId w:val="3"/>
  </w:num>
  <w:num w:numId="14" w16cid:durableId="532428646">
    <w:abstractNumId w:val="16"/>
  </w:num>
  <w:num w:numId="15" w16cid:durableId="1238782448">
    <w:abstractNumId w:val="18"/>
  </w:num>
  <w:num w:numId="16" w16cid:durableId="892811990">
    <w:abstractNumId w:val="14"/>
  </w:num>
  <w:num w:numId="17" w16cid:durableId="1957831156">
    <w:abstractNumId w:val="17"/>
  </w:num>
  <w:num w:numId="18" w16cid:durableId="1427799288">
    <w:abstractNumId w:val="2"/>
  </w:num>
  <w:num w:numId="19" w16cid:durableId="959074878">
    <w:abstractNumId w:val="13"/>
  </w:num>
  <w:num w:numId="20" w16cid:durableId="335688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1199C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74BC7"/>
    <w:rsid w:val="00576350"/>
    <w:rsid w:val="00590CE8"/>
    <w:rsid w:val="0059677C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022"/>
    <w:rsid w:val="006F4B20"/>
    <w:rsid w:val="00705B7F"/>
    <w:rsid w:val="00716D42"/>
    <w:rsid w:val="007225F5"/>
    <w:rsid w:val="0072346E"/>
    <w:rsid w:val="00743265"/>
    <w:rsid w:val="0075772C"/>
    <w:rsid w:val="00784253"/>
    <w:rsid w:val="007913D9"/>
    <w:rsid w:val="007949BF"/>
    <w:rsid w:val="007A7B00"/>
    <w:rsid w:val="007C6FD4"/>
    <w:rsid w:val="007D151A"/>
    <w:rsid w:val="008235E7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3974"/>
    <w:rsid w:val="008C5CB1"/>
    <w:rsid w:val="008D3200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B4386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pilv.mkm.ee/s/DpHvP5YgYKqQomc?path=%2FM%C3%A4ngud_jalgrattam%C3%A4ngud_pilgum%C3%A4ng_liiklusm%C3%A4rkide%20m%C3%A4ng_(EST%20RU)" TargetMode="External"/><Relationship Id="rId26" Type="http://schemas.openxmlformats.org/officeDocument/2006/relationships/hyperlink" Target="https://pilv.transpordiamet.ee/s/DpHvP5YgYKqQomc" TargetMode="External"/><Relationship Id="rId39" Type="http://schemas.openxmlformats.org/officeDocument/2006/relationships/hyperlink" Target="https://www.youtube.com/watch?v=_cKafIlv-rg&amp;list=PLIb4Ux8uE-KbJyDoENLcAilrE9FTjD8U3&amp;index=3" TargetMode="External"/><Relationship Id="rId21" Type="http://schemas.openxmlformats.org/officeDocument/2006/relationships/hyperlink" Target="https://learningapps.org/view18420850" TargetMode="External"/><Relationship Id="rId34" Type="http://schemas.openxmlformats.org/officeDocument/2006/relationships/hyperlink" Target="https://www.liikluskasvatus.ee/et/tellimiskeskus/oppemang-tunne-liiklusmarke" TargetMode="External"/><Relationship Id="rId42" Type="http://schemas.openxmlformats.org/officeDocument/2006/relationships/hyperlink" Target="https://www.riigiteataja.ee/akt/122052020009?leiaKehtiv" TargetMode="External"/><Relationship Id="rId47" Type="http://schemas.openxmlformats.org/officeDocument/2006/relationships/hyperlink" Target="https://eteenindus.mnt.ee/main.jsf" TargetMode="External"/><Relationship Id="rId50" Type="http://schemas.openxmlformats.org/officeDocument/2006/relationships/hyperlink" Target="https://www.riigiteataja.ee/akt/123122020002?leiaKehtiv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learningapps.org/view43756637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wordwall.net/et/resource/79096123/osutusm%C3%A4rgid-jalgratturi-koolitus" TargetMode="External"/><Relationship Id="rId32" Type="http://schemas.openxmlformats.org/officeDocument/2006/relationships/hyperlink" Target="https://www.youtube.com/watch?v=9g0VSNTWRFs&amp;list=PLIb4Ux8uE-KbJyDoENLcAilrE9FTjD8U3&amp;index=5" TargetMode="External"/><Relationship Id="rId37" Type="http://schemas.openxmlformats.org/officeDocument/2006/relationships/hyperlink" Target="https://www.transpordiamet.ee/soidukid-ja-maanteeliiklus/liiklusohutus/liiklusharidus" TargetMode="External"/><Relationship Id="rId40" Type="http://schemas.openxmlformats.org/officeDocument/2006/relationships/hyperlink" Target="https://www.youtube.com/watch?v=RZcuE6b_6io&amp;list=PLIb4Ux8uE-KbJyDoENLcAilrE9FTjD8U3&amp;index=8" TargetMode="External"/><Relationship Id="rId45" Type="http://schemas.openxmlformats.org/officeDocument/2006/relationships/hyperlink" Target="https://kahoot.com/" TargetMode="External"/><Relationship Id="rId5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liiklusohutus.agamina.ee/" TargetMode="External"/><Relationship Id="rId23" Type="http://schemas.openxmlformats.org/officeDocument/2006/relationships/hyperlink" Target="https://wordwall.net/et/resource/83902067/kohustusm%C3%A4rgid-jalgratturi-koolitus" TargetMode="External"/><Relationship Id="rId28" Type="http://schemas.openxmlformats.org/officeDocument/2006/relationships/hyperlink" Target="https://pilv.transpordiamet.ee/s/DpHvP5YgYKqQomc" TargetMode="External"/><Relationship Id="rId36" Type="http://schemas.openxmlformats.org/officeDocument/2006/relationships/hyperlink" Target="https://liiklusohutus.agamina.ee/" TargetMode="External"/><Relationship Id="rId49" Type="http://schemas.openxmlformats.org/officeDocument/2006/relationships/hyperlink" Target="https://www.riigiteataja.ee/akt/130062023034?leiaKehtiv" TargetMode="External"/><Relationship Id="rId10" Type="http://schemas.openxmlformats.org/officeDocument/2006/relationships/hyperlink" Target="https://www.youtube.com/watch?v=zXYVsFJzGAQ&amp;list=PLIb4Ux8uE-KbJyDoENLcAilrE9FTjD8U3&amp;index=1" TargetMode="External"/><Relationship Id="rId19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pilv.transpordiamet.ee/s/DpHvP5YgYKqQomc" TargetMode="External"/><Relationship Id="rId44" Type="http://schemas.openxmlformats.org/officeDocument/2006/relationships/hyperlink" Target="https://learningapps.org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ilv.transpordiamet.ee/s/DpHvP5YgYKqQomc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learningapps.org/display?v=p5hec5mpn21" TargetMode="External"/><Relationship Id="rId27" Type="http://schemas.openxmlformats.org/officeDocument/2006/relationships/hyperlink" Target="https://learningapps.org/view40348770" TargetMode="External"/><Relationship Id="rId30" Type="http://schemas.openxmlformats.org/officeDocument/2006/relationships/hyperlink" Target="https://pilv.transpordiamet.ee/s/DpHvP5YgYKqQomc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nKmmC12mKcg&amp;list=PLIb4Ux8uE-KbJyDoENLcAilrE9FTjD8U3&amp;index=7" TargetMode="External"/><Relationship Id="rId48" Type="http://schemas.openxmlformats.org/officeDocument/2006/relationships/hyperlink" Target="https://www.riigiteataja.ee/akt/122052020009?leiaKehtiv" TargetMode="External"/><Relationship Id="rId8" Type="http://schemas.openxmlformats.org/officeDocument/2006/relationships/hyperlink" Target="https://pilv.transpordiamet.ee/s/DpHvP5YgYKqQomc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pilv.transpordiamet.ee/s/DpHvP5YgYKqQomc" TargetMode="External"/><Relationship Id="rId38" Type="http://schemas.openxmlformats.org/officeDocument/2006/relationships/hyperlink" Target="https://pilv.mkm.ee/s/DpHvP5YgYKqQomc?path=%2FM%C3%A4ngud_jalgrattam%C3%A4ngud_pilgum%C3%A4ng_liiklusm%C3%A4rkide%20m%C3%A4ng_(EST%20RU)" TargetMode="External"/><Relationship Id="rId46" Type="http://schemas.openxmlformats.org/officeDocument/2006/relationships/hyperlink" Target="https://liiklusharidus.transpordiamet.ee/" TargetMode="External"/><Relationship Id="rId20" Type="http://schemas.openxmlformats.org/officeDocument/2006/relationships/hyperlink" Target="https://learningapps.org/21148694" TargetMode="External"/><Relationship Id="rId41" Type="http://schemas.openxmlformats.org/officeDocument/2006/relationships/hyperlink" Target="https://www.riigiteataja.ee/akt/122052020009?leiaKeht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2842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Valev Sisov</cp:lastModifiedBy>
  <cp:revision>2</cp:revision>
  <dcterms:created xsi:type="dcterms:W3CDTF">2026-04-28T16:27:00Z</dcterms:created>
  <dcterms:modified xsi:type="dcterms:W3CDTF">2026-04-28T16:27:00Z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